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A8" w:rsidRPr="001446A8" w:rsidRDefault="001446A8" w:rsidP="001446A8">
      <w:pPr>
        <w:rPr>
          <w:lang w:val="bg-BG"/>
        </w:rPr>
      </w:pPr>
      <w:bookmarkStart w:id="0" w:name="_GoBack"/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ПРЕГЛЕД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Покана до определени лица за обществена поръчка на стойност по чл. 20, ал.3 или ал.7 от ЗОП</w:t>
      </w:r>
    </w:p>
    <w:p w:rsidR="001446A8" w:rsidRPr="001446A8" w:rsidRDefault="001446A8" w:rsidP="001446A8">
      <w:pPr>
        <w:rPr>
          <w:lang w:val="bg-BG"/>
        </w:rPr>
      </w:pP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Покана до определени лица</w:t>
      </w:r>
    </w:p>
    <w:p w:rsidR="001446A8" w:rsidRPr="001446A8" w:rsidRDefault="001446A8" w:rsidP="001446A8">
      <w:pPr>
        <w:rPr>
          <w:lang w:val="bg-BG"/>
        </w:rPr>
      </w:pP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Раздел І: Възложител</w:t>
      </w:r>
    </w:p>
    <w:p w:rsidR="001446A8" w:rsidRPr="001446A8" w:rsidRDefault="001446A8" w:rsidP="001446A8">
      <w:pPr>
        <w:rPr>
          <w:lang w:val="bg-BG"/>
        </w:rPr>
      </w:pP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I.1)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Наименование и адреси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Официално наименование: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ИНСТИТУТ ПО БИОЛОГИЯ И ИМУНОЛОГИЯ НА РАЗМНОЖАВАНЕТО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Национален регистрационен номер (в приложимите случаи):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000662139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Пощенски адрес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Държава: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България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Град: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гр.София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Пощенски адрес: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бул. ЦАРИГРАДСКО ШОСЕ №.73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Пощенски код: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1113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код NUTS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БЪЛГАРИЯ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Лице за контакт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Сергей Бохос Хайрабедян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Електронна поща: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soren.hayrabedyan@gmail.com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Телефон: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+359 895453170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Факс: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+359 28720022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Интернет адрес/и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Основен адрес: (URL)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http://ibir.bas.bg/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Адрес на профила на купувача: (URL)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http://ibir.bas.bg/%D0%B7%D0%B0-%D0%B8%D0%B1%D0%B8%D1%80/%D0%9F%D1%80%D0%BE%D1%84%D0%B8%D0%BB-%D0%BD%D0%B0-%D0%BA%D1%83%D0%BF%D1%83%D0%B2%D0%B0%D1%87%D0%B0-Content291bg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I.2)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Комуникация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Документацията за обществената поръчка е достъпна за неограничен и пълен пряк безплатен достъп на: (URL)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URL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https://app.eop.bg/today/73241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Допълнителна информация може да бъде получена от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Горепосоченото/ите място/места за контакт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lastRenderedPageBreak/>
        <w:t>Офертите или заявленията за участие трябва да бъдат изпратени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електронно посредством: (URL)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https://app.eop.bg/today/73241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Раздел ІІ: Предмет</w:t>
      </w:r>
    </w:p>
    <w:p w:rsidR="001446A8" w:rsidRPr="001446A8" w:rsidRDefault="001446A8" w:rsidP="001446A8">
      <w:pPr>
        <w:rPr>
          <w:lang w:val="bg-BG"/>
        </w:rPr>
      </w:pP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II.1)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Обхват на обществената поръчка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II.1.1)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Наименование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„Доставка на система за флуоресцентен образен анализ на живи клетки“.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II.1.2)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Основен CPV код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73000000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II.1.3)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Обект на поръчката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Доставки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II.1.4)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Кратко описание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Продуктът, "Система за флуоресцентен образен анализ на живи клетки“, представлява оборудване за биомедицински изследвания.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II.1.5)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Обща прогнозна стойност на поръчката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Стойност, без да се включва ДДС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55100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Валута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BGN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II.1.6)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Обособени позиции (когато е приложимо)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Настоящата поръчка е разделена на обособени позиции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не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II.2) Описание</w:t>
      </w:r>
    </w:p>
    <w:p w:rsidR="001446A8" w:rsidRPr="001446A8" w:rsidRDefault="001446A8" w:rsidP="001446A8">
      <w:pPr>
        <w:rPr>
          <w:lang w:val="bg-BG"/>
        </w:rPr>
      </w:pP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II.2.3)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Място на изпълнение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код NUTS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БЪЛГАРИЯ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Основно място на изпълнение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ИБИР - БАН, 1113 СОФИЯ, БУЛ. "ЦАРИГРАДСКО ШОСЕ" № 73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II.2.4)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Описание на обществената поръчка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„Доставка на система за флуоресцентен образен анализ на живи клетки“ е по проект “Научна инфраструктура по клетъчни технологии в биомедицината”, финансиран от Министерство на образованието и науката.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II.2.5)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Критерии за възлагане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Критериите по-долу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Цена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II.2.6)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lastRenderedPageBreak/>
        <w:t>Прогнозна стойност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Стойност, без да се включва ДДС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55100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Валута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BGN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II.2.7)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Информация относно опциите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Опции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не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II.2.8)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Информация относно средства от Европейския съюз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не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Раздел ІV: Административна информация</w:t>
      </w:r>
    </w:p>
    <w:p w:rsidR="001446A8" w:rsidRPr="001446A8" w:rsidRDefault="001446A8" w:rsidP="001446A8">
      <w:pPr>
        <w:rPr>
          <w:lang w:val="bg-BG"/>
        </w:rPr>
      </w:pP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IV.1)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Срок за получаване на офертите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Дата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04-септември-2020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Час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16:00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IV.2)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Срок на валидност на офертите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Продължителност в месеци (от датата, която е посочена за дата на получаване на офертата)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3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IV.3)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Условия за отваряне на офертите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Дата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08-септември-2020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Час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13:00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Място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В системата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Раздел V: Правно основание</w:t>
      </w:r>
    </w:p>
    <w:p w:rsidR="001446A8" w:rsidRPr="001446A8" w:rsidRDefault="001446A8" w:rsidP="001446A8">
      <w:pPr>
        <w:rPr>
          <w:lang w:val="bg-BG"/>
        </w:rPr>
      </w:pP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V.1)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Правно основание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Чл. 191, ал. 1, т. ___ от ЗОП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2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V.2)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Лица, до които се изпраща поканата за участие в обществена поръчка на стойност по чл. 20, ал. 3 или ал. 7 от ЗОП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Лица, до които се изпраща поканата за участие в обществена поръчка на стойност по чл. 20, ал. 3 или ал. 7 от ЗОП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accela s.r.o.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Ид. номер: 27060896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със седалище във: Vejvodova 445/1, 110 00 Прага 1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lastRenderedPageBreak/>
        <w:t>представлявано от: RNDr. Петер Квапил, Изпълнителен директор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лице за контакт: Ирина - Валентина Кожокару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електронна поща: cojocaru@accela.eu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тел: +40749952785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Раздел VІ: Допълнителна информация</w:t>
      </w:r>
    </w:p>
    <w:p w:rsidR="001446A8" w:rsidRPr="001446A8" w:rsidRDefault="001446A8" w:rsidP="001446A8">
      <w:pPr>
        <w:rPr>
          <w:lang w:val="bg-BG"/>
        </w:rPr>
      </w:pP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VI.1)</w:t>
      </w:r>
      <w:r w:rsidRPr="001446A8">
        <w:rPr>
          <w:lang w:val="bg-BG"/>
        </w:rPr>
        <w:tab/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Дата на изпращане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21-август-2020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Възложител</w:t>
      </w:r>
    </w:p>
    <w:p w:rsidR="001446A8" w:rsidRPr="001446A8" w:rsidRDefault="001446A8" w:rsidP="001446A8">
      <w:pPr>
        <w:rPr>
          <w:lang w:val="bg-BG"/>
        </w:rPr>
      </w:pP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Име и фамилия: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Сорен Хайрабедян</w:t>
      </w:r>
    </w:p>
    <w:p w:rsidR="001446A8" w:rsidRPr="001446A8" w:rsidRDefault="001446A8" w:rsidP="001446A8">
      <w:pPr>
        <w:rPr>
          <w:lang w:val="bg-BG"/>
        </w:rPr>
      </w:pPr>
      <w:r w:rsidRPr="001446A8">
        <w:rPr>
          <w:lang w:val="bg-BG"/>
        </w:rPr>
        <w:t>Длъжност:</w:t>
      </w:r>
    </w:p>
    <w:p w:rsidR="00BF150A" w:rsidRPr="001446A8" w:rsidRDefault="001446A8" w:rsidP="001446A8">
      <w:pPr>
        <w:rPr>
          <w:lang w:val="bg-BG"/>
        </w:rPr>
      </w:pPr>
      <w:r w:rsidRPr="001446A8">
        <w:rPr>
          <w:lang w:val="bg-BG"/>
        </w:rPr>
        <w:t>Директор</w:t>
      </w:r>
      <w:bookmarkEnd w:id="0"/>
    </w:p>
    <w:sectPr w:rsidR="00BF150A" w:rsidRPr="001446A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4D"/>
    <w:rsid w:val="001446A8"/>
    <w:rsid w:val="00286FAF"/>
    <w:rsid w:val="00385466"/>
    <w:rsid w:val="006C154D"/>
    <w:rsid w:val="0073138A"/>
    <w:rsid w:val="00B6136D"/>
    <w:rsid w:val="00DB6180"/>
    <w:rsid w:val="00F2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ilza</dc:creator>
  <cp:lastModifiedBy>ilza</cp:lastModifiedBy>
  <cp:revision>2</cp:revision>
  <dcterms:created xsi:type="dcterms:W3CDTF">2020-08-24T08:35:00Z</dcterms:created>
  <dcterms:modified xsi:type="dcterms:W3CDTF">2020-08-24T08:35:00Z</dcterms:modified>
</cp:coreProperties>
</file>