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47" w:rsidRPr="00DD3847" w:rsidRDefault="00DD3847" w:rsidP="00DD3847">
      <w:pPr>
        <w:rPr>
          <w:lang w:val="bg-BG"/>
        </w:rPr>
      </w:pPr>
      <w:bookmarkStart w:id="0" w:name="_GoBack"/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ПРЕГЛЕД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Покана до определени лица за обществена поръчка на стойност по чл. 20, ал.3 или ал.7 от ЗОП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Покана до определени лица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Раздел І: Възложител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I.1)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Наименование и адреси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Официално наименование: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ИНСТИТУТ ПО БИОЛОГИЯ И ИМУНОЛОГИЯ НА РАЗМНОЖАВАНЕТО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Национален регистрационен номер (в приложимите случаи):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000662139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Пощенски адрес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Държава: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България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Град: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гр.София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Пощенски адрес: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бул. "Цариградско шосе" № 73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Пощенски код: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1113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код NUTS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БЪЛГАРИЯ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Лице за контакт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Rayna Sergeeva Stoykova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Електронна поща: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ibir@abv.bg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Телефон: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+359 876454325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Факс: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+359 28720022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Интернет адрес/и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Основен адрес: (URL)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http://ibir.bas.bg/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Адрес на профила на купувача: (URL)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http://ibir.bas.bg/%D0%B7%D0%B0-%D0%B8%D0%B1%D0%B8%D1%80/%D0%9F%D1%80%D0%BE%D1%84%D0%B8%D0%BB-%D0%BD%D0%B0-%D0%BA%D1%83%D0%BF%D1%83%D0%B2%D0%B0%D1%87%D0%B0-Content291bg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I.2)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Комуникация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Документацията за обществената поръчка е достъпна за неограничен и пълен пряк безплатен достъп на: (URL)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URL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https://app.eop.bg/today/70403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Допълнителна информация може да бъде получена от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Горепосоченото/ите място/места за контакт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lastRenderedPageBreak/>
        <w:t>Офертите или заявленията за участие трябва да бъдат изпратени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електронно посредством: (URL)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https://app.eop.bg/today/70403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горепосоченото/ите място/места за контакт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Раздел ІІ: Предмет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II.1)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Обхват на обществената поръчка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II.1.1)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Наименование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ДОСТАВКА НА Echo Revolve – Хибриден лабораторен микроскоп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II.1.2)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Основен CPV код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73000000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II.1.3)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Обект на поръчката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Доставки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II.1.4)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Кратко описание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Доставка на посоченото оборудване е свързано с изпълнение на проект по ННП"Вихрен"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II.1.5)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Обща прогнозна стойност на поръчката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Стойност, без да се включва ДДС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57500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Валута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BGN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II.1.6)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Обособени позиции (когато е приложимо)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Настоящата поръчка е разделена на обособени позиции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не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II.2) Описание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II.2.3)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Място на изпълнение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код NUTS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БЪЛГАРИЯ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Основно място на изпълнение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Институт по биология и имунология на размножаването "Акад. Кирил Братанов" при Българска академия на науките/ИБИР - БАН/, бул. "Цариградско шосе" № 73, 1113 София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II.2.4)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Описание на обществената поръчка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Доставка на Echo Revolve – Хибриден лабораторен микроскоп по проект КП - 06 - ДВ - 3 по ННП "Вихрен"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II.2.5)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Критерии за възлагане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Критериите по-долу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Цена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II.2.6)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lastRenderedPageBreak/>
        <w:t>Прогнозна стойност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Стойност, без да се включва ДДС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57500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Валута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BGN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II.2.7)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Информация относно опциите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Опции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не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II.2.8)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Информация относно средства от Европейския съюз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не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Раздел ІІІ: Изисквания за лично състояние и критерии за подбор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III.1.1)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Изисквания за личното състояние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В настоящата обществена поръчка може да участва българско или чуждестранно физическо или юридическо лице или техни обединения, както и всяко друго образувание, което отговаря на изискванията, предвидени в Закона за обществените поръчки /ЗОП/, правилника за прилагане на ЗОП /ППЗОП/ и обявените изисквания от Възложителя. Възложителят отстранява от участие в обществената поръчка участник, когато: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1. е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2. е осъден с влязла в сила присъда, за престъпление, аналогично на тези по т. 1, в друга държава членка или трета страна;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3.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4. е налице неравнопоставеност в случаите по чл. 44, ал. 5 от ЗОП;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5. е установено, че: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а) е представил документ с невярно съдържание, с който се доказва декларираната липса на основания за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отстраняване или декларираното изпълнение на критериите за подбор;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б) не е предоставил изискваща се информация, свързана с удостоверяване липсата на основания за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отстраняване или изпълнението на критериите за подбор;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6. е установено с влязло в сила наказателно постановление или съдебно решение, нарушение на чл. 61, ал. 1, чл. 62, ал. 1 или 3,чл. 63, ал. 1 или 2, чл. 118, чл. 128, чл. 228, ал.З,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7. е налице конфликт на интереси, който не може да бъде отстранен.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Основанията по т. 1, 2 и 7 се отнасят за лицата, които представляват участника.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lastRenderedPageBreak/>
        <w:t>Когато участникът се представлява от повече от едно лице, декларацията за липса на обстоятелствата по т. 3-6 се подписва от лицето, което може самостоятелно да го представлява. Основанията по т. 3 не се прилагат,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При подаване на офертата, липсата/наличието на горепосочените обстоятелства се декларира, чрез попълване в Част втора, Раздел „Основания за отстраняване", от Декларация по чл. 192, ал. 3 от ЗОП -(по Образец № 2), неразделна част от настоящата Обява.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Обстоятелствата се доказват с представяне на следните документи: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за обстоятелствата по т, 1 и 2 — свидетелство за съдимост - (предоставя се от компетентния орган на Възложителя по служебен път);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за обстоятелствата по т. 3 - удостоверение от органите по приходите и удостоверение от общината по седалището на възложителя и на участника - (предоставя се от участника);.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за обстоятелствата по т. 6 - удостоверение от органите на Изпълнителна агенция "Главна инспекция по труда" - (предоставя се от участника);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Когато участникът, е чуждестранно лице, той представя съответния документ за доказване липса на основания за отстраняване, издаден от компетентен орган, съгласно законодателството на държавата, в която участникът е установен. Когато в съответната държава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съгласно законодателството на съответната държава. В случай, че декларацията няма правно значение, участникът представя официално заявление, направено пред компетентен орган в съответната държава.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III.1.3)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Технически и професионални способности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По отношение на критериите, свързани с професионална компетентност и опит за изпълнение на поръчката, 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капацитет.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Третите лица трябва да отговарят на съответните критерии за подбор, за доказването на които участникът се позовава на техника капацитет и за тях да не са налице основанията за отстраняване от процедурата, в противен случай възложителят изисква от участника да замени посоченото от него трето лице.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III.1.5)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Информация относно запазени поръчки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Поръчката е запазена за специализирани предприятия или кооперации на хора с увреждания или за стопански субекти, чиято основна цел е социалното и професионалното интегриране на хора с увреждания или хора в неравностойно положение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не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Раздел ІV: Административна информация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IV.1)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Срок за получаване на офертите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Дата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04-септември-2020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Час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16:00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lastRenderedPageBreak/>
        <w:t>IV.2)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Срок на валидност на офертите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Продължителност в месеци (от датата, която е посочена за дата на получаване на офертата)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3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IV.3)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Условия за отваряне на офертите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Дата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08-септември-2020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Час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11:00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Място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В системата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Раздел V: Правно основание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V.1)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Правно основание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Чл. 191, ал. 1, т. ___ от ЗОП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2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V.2)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Лица, до които се изпраща поканата за участие в обществена поръчка на стойност по чл. 20, ал. 3 или ал. 7 от ЗОП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Лица, до които се изпраща поканата за участие в обществена поръчка на стойност по чл. 20, ал. 3 или ал. 7 от ЗОП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"ФОТ" ООД, ЕИК 131025586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Раздел VІ: Допълнителна информация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VI.1)</w:t>
      </w:r>
      <w:r w:rsidRPr="00DD3847">
        <w:rPr>
          <w:lang w:val="bg-BG"/>
        </w:rPr>
        <w:tab/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Дата на изпращане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21-август-2020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Възложител</w:t>
      </w:r>
    </w:p>
    <w:p w:rsidR="00DD3847" w:rsidRPr="00DD3847" w:rsidRDefault="00DD3847" w:rsidP="00DD3847">
      <w:pPr>
        <w:rPr>
          <w:lang w:val="bg-BG"/>
        </w:rPr>
      </w:pP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Име и фамилия: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Проф. Сорен Бохос Хайрабедян</w:t>
      </w:r>
    </w:p>
    <w:p w:rsidR="00DD3847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Длъжност:</w:t>
      </w:r>
    </w:p>
    <w:p w:rsidR="00BF150A" w:rsidRPr="00DD3847" w:rsidRDefault="00DD3847" w:rsidP="00DD3847">
      <w:pPr>
        <w:rPr>
          <w:lang w:val="bg-BG"/>
        </w:rPr>
      </w:pPr>
      <w:r w:rsidRPr="00DD3847">
        <w:rPr>
          <w:lang w:val="bg-BG"/>
        </w:rPr>
        <w:t>Директор</w:t>
      </w:r>
      <w:bookmarkEnd w:id="0"/>
    </w:p>
    <w:sectPr w:rsidR="00BF150A" w:rsidRPr="00DD38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4"/>
    <w:rsid w:val="00286FAF"/>
    <w:rsid w:val="0073138A"/>
    <w:rsid w:val="00B6136D"/>
    <w:rsid w:val="00DB6180"/>
    <w:rsid w:val="00DD3847"/>
    <w:rsid w:val="00EC4B84"/>
    <w:rsid w:val="00F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</dc:creator>
  <cp:lastModifiedBy>ilza</cp:lastModifiedBy>
  <cp:revision>2</cp:revision>
  <dcterms:created xsi:type="dcterms:W3CDTF">2020-08-24T08:37:00Z</dcterms:created>
  <dcterms:modified xsi:type="dcterms:W3CDTF">2020-08-24T08:37:00Z</dcterms:modified>
</cp:coreProperties>
</file>