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CB" w:rsidRPr="00492E49" w:rsidRDefault="00432ACB" w:rsidP="00432ACB">
      <w:pPr>
        <w:rPr>
          <w:lang w:val="bg-BG"/>
        </w:rPr>
      </w:pPr>
      <w:bookmarkStart w:id="0" w:name="_GoBack"/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ПРЕГЛЕД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Решение по чл. 22, ал.1 от ЗОП</w:t>
      </w:r>
    </w:p>
    <w:p w:rsidR="00432ACB" w:rsidRPr="00492E49" w:rsidRDefault="00432ACB" w:rsidP="00432ACB">
      <w:pPr>
        <w:rPr>
          <w:lang w:val="bg-BG"/>
        </w:rPr>
      </w:pP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ПРЕДВАРИТЕЛНА ИНФОРМАЦИЯ</w:t>
      </w:r>
    </w:p>
    <w:p w:rsidR="00432ACB" w:rsidRPr="00492E49" w:rsidRDefault="00432ACB" w:rsidP="00432ACB">
      <w:pPr>
        <w:rPr>
          <w:lang w:val="bg-BG"/>
        </w:rPr>
      </w:pP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Решение за публикуване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Професионална област, в която попада предметът на обществената поръчка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Биологически науки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ДЕЛОВОДНА ИНФОРМАЦИЯ</w:t>
      </w:r>
    </w:p>
    <w:p w:rsidR="00432ACB" w:rsidRPr="00492E49" w:rsidRDefault="00432ACB" w:rsidP="00432ACB">
      <w:pPr>
        <w:rPr>
          <w:lang w:val="bg-BG"/>
        </w:rPr>
      </w:pP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Партида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1502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Изходящ номер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326 - НО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от дата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21-август-2020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РАЗДЕЛ І: ВЪЗЛОЖИТЕЛ</w:t>
      </w:r>
    </w:p>
    <w:p w:rsidR="00432ACB" w:rsidRPr="00492E49" w:rsidRDefault="00432ACB" w:rsidP="00432ACB">
      <w:pPr>
        <w:rPr>
          <w:lang w:val="bg-BG"/>
        </w:rPr>
      </w:pP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Публичен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I.1)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Наименование и адрес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Официално наименование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ИНСТИТУТ ПО БИОЛОГИЯ И ИМУНОЛОГИЯ НА РАЗМНОЖАВАНЕТО- БАН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Национален регистрационен номер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000662139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Пощенски адрес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бул. ЦАРИГРАДСКО ШОСЕ №.73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Град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гр.София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код NUTS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БЪЛГАРИЯ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Пощенски код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1113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Държава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България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Лице за контакт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Сорен Бохос Хайрабедян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Телефон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+359 895453170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Факс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+359 28720022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Електронна поща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soren.hayrabedyan@gmail.com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Основен адрес (URL)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http://ibir.bas.bg/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Адрес на профила на купувача (URL)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lastRenderedPageBreak/>
        <w:t>http://ibir.bas.bg/%D0%B7%D0%B0-%D0%B8%D0%B1%D0%B8%D1%80/%D0%9F%D1%80%D0%BE%D1%84%D0%B8%D0%BB-%D0%BD%D0%B0-%D0%BA%D1%83%D0%BF%D1%83%D0%B2%D0%B0%D1%87%D0%B0-Content291bg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I.2)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Вид на възложителя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Публичноправна организация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I.3)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Основна дейност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Друга дейност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Научноизследователска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РАЗДЕЛ ІІ: ОТКРИВАНЕ</w:t>
      </w:r>
    </w:p>
    <w:p w:rsidR="00432ACB" w:rsidRPr="00492E49" w:rsidRDefault="00432ACB" w:rsidP="00432ACB">
      <w:pPr>
        <w:rPr>
          <w:lang w:val="bg-BG"/>
        </w:rPr>
      </w:pP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Откривам процедура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Поръчката е в областите отбрана и сигурност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Поръчка за социални и други специфични услуги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Откривам процедура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за възлагане на обществена поръчка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II.1)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Вид на процедурата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Публично състезание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РАЗДЕЛ ІІI: ПРАВНО ОСНОВАНИЕ</w:t>
      </w:r>
    </w:p>
    <w:p w:rsidR="00432ACB" w:rsidRPr="00492E49" w:rsidRDefault="00432ACB" w:rsidP="00432ACB">
      <w:pPr>
        <w:rPr>
          <w:lang w:val="bg-BG"/>
        </w:rPr>
      </w:pP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Правно основание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Чл. 18, ал. 1, т. 12 от ЗОП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РАЗДЕЛ IV: ПОРЪЧКА</w:t>
      </w:r>
    </w:p>
    <w:p w:rsidR="00432ACB" w:rsidRPr="00492E49" w:rsidRDefault="00432ACB" w:rsidP="00432ACB">
      <w:pPr>
        <w:rPr>
          <w:lang w:val="bg-BG"/>
        </w:rPr>
      </w:pP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IV.1)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Наименование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Доставка на биопринтер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IV.3)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Обект на поръчката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Доставки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IV.4)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Описание на предмета на поръчката (естество и количество на строителни работи, доставки или услуги или указване на потребности и изисквания)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Когато основният предмет съдържа допълнителни предмети, те трябва да бъдат описани тук.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Процедурата е за доставка на биопринтер, подходящ за тъканно инженерство, имащ характеристики: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1. Осигурена самостоятелна стерилна среда за биопринтиране извън ламинарен бокс – работа с автоматично стерилизиран с УВ въздух под позитивно налягане (вграден компресор), пречистен на нивото на възможностите на двойна филтрираща система от клас HEPA H14; самостоятелен потребителски интерфейс, елиминиращ нуждата от допълнителен хардуер. CE-маркировка, сертифициране по IEC 61010-1, UL 61010-1, ISO 9001: 2015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 xml:space="preserve">2. Разрешителната способност в трите направления ширина, височина, дълбочина трябва да е поне 1 микрометър, с минималното подържано налягане за принтиране поне 1 килопаскал и </w:t>
      </w:r>
      <w:r w:rsidRPr="00492E49">
        <w:rPr>
          <w:lang w:val="bg-BG"/>
        </w:rPr>
        <w:lastRenderedPageBreak/>
        <w:t>температурно-контролирана основа за принтиране (4 to 60 градуса Целзии), съвместима със стандартни петриеви панички, много ямкови плаки и потребителски подбрани инсерти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3. Софтуерът за проектиране на модели за печат трябва да поддържа както STL, така и G-код. За предпочитане е обменът на файлове с курирана екосистема и хранилище с код за печат.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4. Да разполага с минимум 3 гнезда за сменяеми печатащи глави, като всяка предлагана глава трябва да може да осигури една от долупосочените функции / технологии: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= печатаща глава с пневматично екструдиране, използваща налягане щадящо за клетките (минимално до 1 kPA) и поддържаща температурен диапазон на съдържанието между 30 и 65 ° С, със стъпка от най-малко 0,5 С;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= печатаща глава с механично екструдиране на базата на спринцовка, имаща възможност за нагряване на материала до 65 С;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= печатаща глава с електромагнитно капково принтиране, позволяваща безконтактно създаване на струя от биоматериал/биоматериал и клетки („капка при поискване“) или контактно дозиране на биолепила, хидрогел и носители с нисък/висок вискозитет. Печатащата глава трябва да се предлага с аксесоари, поддържащи двата режима на подаване – струйна капка или контактно нанасяне. Дебитът и обемът на капките трябва да се контролира с минимално време за отваряне между отделните капчици от поне 1 ms. Температурата на биолепилото трябва да може да се контролира в обхвата от стайна температура до 65 градуса по Целзий; Тази печатна технология е задължителна за офериране;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= печатаща глава с пневматична технология с контролирана температура: възможности за поддържане устойчива термична стабилност при биопечат - трябва да поддържа температурен диапазон от 4 до 65 ° С, с температурен градиент на най-малко 0,5 С и способност да нагрява или да охлажда при поискване;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= печатна глава с термопластично екструдиране: за отпечатване на термопластици, като полилактатна киселина, поликаролактон, полилактат-ко-гликолова киселина, хидрокиапатит за производството на твърди матрици и хибридни структури, с температурен диапазон на нагряване между стайна температура и поне 250 С;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= Фото-полимеризираща печатаща глава - с възможност за ефективно фото-омрежване на биолепила и др., включително. на региони с размер на отделен кладенец на много-ямкова плака и потенциално поддържаните дължини на вълната на омрежване 365, 385, 405, 450, 485 и 520 нм; принтера трябва да има вграден модул за фото-омрежване (подържащ примерно дължини на вълната 365 нм и 405 нм) и отделно да се оферира поне една печатаща глава която да може да подържа дължини на вълната от 385 и 450 нм, като в даден момент може да се ползва само едната дължина, но трябва да могат да се подържат и двете дължини;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= Глава-камера за образен контрол на процеса на печат позволяваща дигитална фотография с висока разделителна способност, позволяваща наблюдението на фазите на биопринтиране оптимизиране на размерите на капчиците, диаметрите на нишките и геометрия на печат; Изисквания: Регулируеми фокусни равнини, висока резолюция от поне 1600 на 1200 пиксела, регулируема интензивност на светлината, минимално зрително поле от поне 7.4 на 5.5 мм, и максимално зрително поле от поне 37 на 28 мм.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IV.5)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Обществената поръчка съдържа изисквания, свързани с опазване на околната средa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IV.6)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Информация относно средства от Европейския съюз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lastRenderedPageBreak/>
        <w:t>IV.7)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Разделяне на обособени позиции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Настоящата поръчка е разделена на обособени позиции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Мотиви за невъзможността за разделяне на поръчката на обособени позиции (когато е приложимо):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Не подлежи на разделяне.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IV.8)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Прогнозна стойност на поръчката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Стойност, без да се включва ДДС: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100000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Валута: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BGN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IV.10)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Предметът на поръчката се възлага с няколко отделни процедури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Предметът на поръчката се възлага с няколко отделни процедури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РАЗДЕЛ VI: ОДОБРЯВАМ</w:t>
      </w:r>
    </w:p>
    <w:p w:rsidR="00432ACB" w:rsidRPr="00492E49" w:rsidRDefault="00432ACB" w:rsidP="00432ACB">
      <w:pPr>
        <w:rPr>
          <w:lang w:val="bg-BG"/>
        </w:rPr>
      </w:pP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обявление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РАЗДЕЛ VII: ДОПЪЛНИТЕЛНА ИНФОРМАЦИЯ</w:t>
      </w:r>
    </w:p>
    <w:p w:rsidR="00432ACB" w:rsidRPr="00492E49" w:rsidRDefault="00432ACB" w:rsidP="00432ACB">
      <w:pPr>
        <w:rPr>
          <w:lang w:val="bg-BG"/>
        </w:rPr>
      </w:pP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VII.2)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Орган, който отговаря за процедурите по обжалване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Официално наименование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Комисия за защита на конкуренцията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Национален идентификационен № (ЕИК)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000698612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Пощенски адрес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бул. Витоша № 18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Град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София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Пощенски код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1000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Държава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Република България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Телефон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+359 29884070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Факс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+359 29807315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Адрес за електронна поща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cpcadmin@cpc.bg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Интернет адрес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http://www.cpc.bg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VII.3)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Подаване на жалби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Точна информация относно краен срок/крайни срокове за подаване на жалби: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10 дневен срок от публикуване на решението за определяне на изпълнител.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lastRenderedPageBreak/>
        <w:t>РАЗДЕЛ VIII: ВЪЗЛОЖИТЕЛ</w:t>
      </w:r>
    </w:p>
    <w:p w:rsidR="00432ACB" w:rsidRPr="00492E49" w:rsidRDefault="00432ACB" w:rsidP="00432ACB">
      <w:pPr>
        <w:rPr>
          <w:lang w:val="bg-BG"/>
        </w:rPr>
      </w:pP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VIII.1)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Име и фамилия: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Сорен Хайрабедян</w:t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VIII.2)</w:t>
      </w:r>
      <w:r w:rsidRPr="00492E49">
        <w:rPr>
          <w:lang w:val="bg-BG"/>
        </w:rPr>
        <w:tab/>
      </w:r>
    </w:p>
    <w:p w:rsidR="00432ACB" w:rsidRPr="00492E49" w:rsidRDefault="00432ACB" w:rsidP="00432ACB">
      <w:pPr>
        <w:rPr>
          <w:lang w:val="bg-BG"/>
        </w:rPr>
      </w:pPr>
      <w:r w:rsidRPr="00492E49">
        <w:rPr>
          <w:lang w:val="bg-BG"/>
        </w:rPr>
        <w:t>Длъжност:</w:t>
      </w:r>
    </w:p>
    <w:p w:rsidR="00BF150A" w:rsidRPr="00492E49" w:rsidRDefault="00432ACB" w:rsidP="00432ACB">
      <w:pPr>
        <w:rPr>
          <w:lang w:val="bg-BG"/>
        </w:rPr>
      </w:pPr>
      <w:r w:rsidRPr="00492E49">
        <w:rPr>
          <w:lang w:val="bg-BG"/>
        </w:rPr>
        <w:t>Директор</w:t>
      </w:r>
      <w:bookmarkEnd w:id="0"/>
    </w:p>
    <w:sectPr w:rsidR="00BF150A" w:rsidRPr="00492E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A0"/>
    <w:rsid w:val="00286FAF"/>
    <w:rsid w:val="00432ACB"/>
    <w:rsid w:val="00492E49"/>
    <w:rsid w:val="0073138A"/>
    <w:rsid w:val="00B6136D"/>
    <w:rsid w:val="00DB6180"/>
    <w:rsid w:val="00E909A0"/>
    <w:rsid w:val="00F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</dc:creator>
  <cp:lastModifiedBy>ilza</cp:lastModifiedBy>
  <cp:revision>3</cp:revision>
  <dcterms:created xsi:type="dcterms:W3CDTF">2020-08-24T08:19:00Z</dcterms:created>
  <dcterms:modified xsi:type="dcterms:W3CDTF">2020-08-24T08:20:00Z</dcterms:modified>
</cp:coreProperties>
</file>